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60CA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60CA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60CA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F164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A393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3A393B" w:rsidRPr="003A393B" w:rsidRDefault="003A393B" w:rsidP="003A393B">
            <w:pPr>
              <w:autoSpaceDE w:val="0"/>
              <w:autoSpaceDN w:val="0"/>
              <w:adjustRightInd w:val="0"/>
              <w:jc w:val="both"/>
              <w:rPr>
                <w:rFonts w:eastAsia="Calibri"/>
                <w:iCs/>
                <w:color w:val="000000"/>
                <w:lang w:eastAsia="en-US"/>
              </w:rPr>
            </w:pPr>
            <w:r w:rsidRPr="003A393B">
              <w:rPr>
                <w:rFonts w:eastAsia="Calibri"/>
                <w:iCs/>
                <w:color w:val="000000"/>
                <w:lang w:eastAsia="en-US"/>
              </w:rPr>
              <w:t xml:space="preserve">Гарипов Ильяс </w:t>
            </w:r>
            <w:proofErr w:type="spellStart"/>
            <w:r w:rsidRPr="003A393B">
              <w:rPr>
                <w:rFonts w:eastAsia="Calibri"/>
                <w:iCs/>
                <w:color w:val="000000"/>
                <w:lang w:eastAsia="en-US"/>
              </w:rPr>
              <w:t>Рамильевич</w:t>
            </w:r>
            <w:proofErr w:type="spellEnd"/>
            <w:r w:rsidRPr="003A393B">
              <w:rPr>
                <w:rFonts w:eastAsia="Calibri"/>
                <w:iCs/>
                <w:color w:val="000000"/>
                <w:lang w:eastAsia="en-US"/>
              </w:rPr>
              <w:t xml:space="preserve"> </w:t>
            </w:r>
          </w:p>
          <w:p w:rsidR="0014229A" w:rsidRPr="003A393B" w:rsidRDefault="003A393B" w:rsidP="003A393B">
            <w:pPr>
              <w:pStyle w:val="Default"/>
              <w:rPr>
                <w:lang w:val="en-US"/>
              </w:rPr>
            </w:pPr>
            <w:r w:rsidRPr="003A393B">
              <w:rPr>
                <w:bCs/>
              </w:rPr>
              <w:t>тел</w:t>
            </w:r>
            <w:r w:rsidRPr="003A393B">
              <w:rPr>
                <w:bCs/>
                <w:lang w:val="en-US"/>
              </w:rPr>
              <w:t>. + 7 (347) 2215445, e-mail:</w:t>
            </w:r>
            <w:r w:rsidRPr="003A393B">
              <w:rPr>
                <w:rFonts w:asciiTheme="minorHAnsi" w:eastAsiaTheme="minorHAnsi" w:hAnsiTheme="minorHAnsi" w:cstheme="minorBidi"/>
                <w:color w:val="auto"/>
                <w:sz w:val="22"/>
                <w:szCs w:val="22"/>
                <w:lang w:val="en-US"/>
              </w:rPr>
              <w:t xml:space="preserve"> </w:t>
            </w:r>
            <w:r w:rsidRPr="003A393B">
              <w:rPr>
                <w:rFonts w:eastAsiaTheme="minorHAnsi"/>
                <w:color w:val="auto"/>
                <w:sz w:val="22"/>
                <w:szCs w:val="22"/>
                <w:lang w:val="en-US"/>
              </w:rPr>
              <w:t>i.garipov@bashtel.ru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A393B"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997A4E" w:rsidP="000F4823">
            <w:pPr>
              <w:pStyle w:val="Default"/>
              <w:jc w:val="both"/>
              <w:rPr>
                <w:b/>
                <w:bCs/>
              </w:rPr>
            </w:pPr>
            <w:r w:rsidRPr="00EC0192">
              <w:rPr>
                <w:b/>
                <w:bCs/>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3A393B" w:rsidP="004A02DC">
            <w:pPr>
              <w:numPr>
                <w:ilvl w:val="0"/>
                <w:numId w:val="24"/>
              </w:numPr>
              <w:jc w:val="both"/>
            </w:pPr>
            <w:r>
              <w:rPr>
                <w:bCs/>
              </w:rPr>
              <w:t xml:space="preserve">Не </w:t>
            </w:r>
            <w:r w:rsidRPr="00260406">
              <w:rPr>
                <w:bCs/>
              </w:rPr>
              <w:t>допускается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находящейся по адресу </w:t>
            </w:r>
            <w:hyperlink r:id="rId17"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A393B">
            <w:r>
              <w:t>«</w:t>
            </w:r>
            <w:r w:rsidR="003A393B">
              <w:t>04</w:t>
            </w:r>
            <w:r w:rsidRPr="005C24A0">
              <w:t>»</w:t>
            </w:r>
            <w:r w:rsidR="003A393B">
              <w:t xml:space="preserve"> 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3A393B" w:rsidRPr="003A393B" w:rsidRDefault="003A393B" w:rsidP="003A393B">
            <w:pPr>
              <w:suppressAutoHyphens/>
              <w:jc w:val="both"/>
            </w:pPr>
            <w:r w:rsidRPr="003A393B">
              <w:t xml:space="preserve">Дата, время начала срока предоставления заявок: «04» августа 2016 г. в 12 часов 00 минут по времени сервера Системы электронных торгов, в соответствии с Регламентом пользования Системой электронных торгов </w:t>
            </w:r>
          </w:p>
          <w:p w:rsidR="003A393B" w:rsidRPr="003A393B" w:rsidRDefault="003A393B" w:rsidP="003A393B">
            <w:pPr>
              <w:suppressAutoHyphens/>
              <w:jc w:val="both"/>
            </w:pPr>
          </w:p>
          <w:p w:rsidR="003A393B" w:rsidRPr="003A393B" w:rsidRDefault="003A393B" w:rsidP="003A393B">
            <w:pPr>
              <w:suppressAutoHyphens/>
              <w:jc w:val="both"/>
            </w:pPr>
            <w:r w:rsidRPr="003A393B">
              <w:t>Дата, время окончания срока предоставления Заявок:</w:t>
            </w:r>
          </w:p>
          <w:p w:rsidR="003A393B" w:rsidRPr="003A393B" w:rsidRDefault="003A393B" w:rsidP="003A393B">
            <w:pPr>
              <w:suppressAutoHyphens/>
              <w:jc w:val="both"/>
            </w:pPr>
            <w:r w:rsidRPr="003A393B">
              <w:t xml:space="preserve">«25»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3A393B" w:rsidP="00722D2F">
            <w:pPr>
              <w:rPr>
                <w:highlight w:val="lightGray"/>
              </w:rPr>
            </w:pPr>
            <w:r w:rsidRPr="003A393B">
              <w:t xml:space="preserve">«25» августа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r w:rsidRPr="003A393B">
              <w:rPr>
                <w:b/>
              </w:rPr>
              <w:t>Рассмотрение Заявок</w:t>
            </w:r>
            <w:r w:rsidRPr="003A393B">
              <w:t xml:space="preserve">: «29» августа 2016 года </w:t>
            </w:r>
          </w:p>
          <w:p w:rsidR="003A393B" w:rsidRPr="003A393B" w:rsidRDefault="003A393B" w:rsidP="003A393B">
            <w:r w:rsidRPr="003A393B">
              <w:t>в 14 ч. 00 мин по местному времени</w:t>
            </w:r>
          </w:p>
          <w:p w:rsidR="003A393B" w:rsidRPr="003A393B" w:rsidRDefault="003A393B" w:rsidP="003A393B">
            <w:pPr>
              <w:rPr>
                <w:sz w:val="10"/>
                <w:szCs w:val="10"/>
              </w:rPr>
            </w:pPr>
          </w:p>
          <w:p w:rsidR="003A393B" w:rsidRPr="003A393B" w:rsidRDefault="003A393B" w:rsidP="003A393B">
            <w:r w:rsidRPr="003A393B">
              <w:rPr>
                <w:b/>
              </w:rPr>
              <w:t>Оценка и сопоставление Заявок</w:t>
            </w:r>
            <w:r w:rsidRPr="003A393B">
              <w:t xml:space="preserve">: «29» августа 2016 года </w:t>
            </w:r>
          </w:p>
          <w:p w:rsidR="003A393B" w:rsidRPr="003A393B" w:rsidRDefault="003A393B" w:rsidP="003A393B">
            <w:r w:rsidRPr="003A393B">
              <w:t>в 16 ч. 00 мин по местному времени</w:t>
            </w:r>
          </w:p>
          <w:p w:rsidR="003A393B" w:rsidRPr="003A393B" w:rsidRDefault="003A393B" w:rsidP="003A393B">
            <w:pPr>
              <w:rPr>
                <w:sz w:val="10"/>
                <w:szCs w:val="10"/>
              </w:rPr>
            </w:pPr>
          </w:p>
          <w:p w:rsidR="003A393B" w:rsidRPr="003A393B" w:rsidRDefault="003A393B" w:rsidP="003A393B">
            <w:r w:rsidRPr="003A393B">
              <w:rPr>
                <w:b/>
              </w:rPr>
              <w:t>Подведение итогов закупки</w:t>
            </w:r>
            <w:r w:rsidRPr="003A393B">
              <w:t xml:space="preserve">: не позднее «06» сентября 2016 года </w:t>
            </w:r>
          </w:p>
          <w:p w:rsidR="003A393B" w:rsidRPr="003A393B" w:rsidRDefault="003A393B" w:rsidP="003A393B">
            <w:pPr>
              <w:autoSpaceDE w:val="0"/>
              <w:autoSpaceDN w:val="0"/>
              <w:adjustRightInd w:val="0"/>
              <w:jc w:val="both"/>
              <w:rPr>
                <w:rFonts w:eastAsia="Calibri"/>
                <w:i/>
                <w:iCs/>
                <w:color w:val="FF0000"/>
                <w:lang w:eastAsia="en-US"/>
              </w:rPr>
            </w:pPr>
          </w:p>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pPr>
              <w:autoSpaceDE w:val="0"/>
              <w:autoSpaceDN w:val="0"/>
              <w:adjustRightInd w:val="0"/>
              <w:jc w:val="both"/>
              <w:rPr>
                <w:rFonts w:eastAsia="Calibri"/>
              </w:rPr>
            </w:pPr>
            <w:r w:rsidRPr="003A393B">
              <w:rPr>
                <w:rFonts w:eastAsia="Bitstream Vera Sans"/>
                <w:b/>
                <w:bCs/>
                <w:kern w:val="1"/>
                <w:lang w:eastAsia="zh-CN" w:bidi="hi-IN"/>
              </w:rPr>
              <w:t>Оказание услуг по проведению медицинских осмотров (обследований) работников ПАО «Башинформсвязь» в г. Уфа</w:t>
            </w:r>
            <w:r w:rsidRPr="003A393B">
              <w:rPr>
                <w:rFonts w:eastAsia="Calibri"/>
              </w:rPr>
              <w:t xml:space="preserve"> </w:t>
            </w:r>
          </w:p>
          <w:p w:rsidR="003A393B" w:rsidRDefault="002C6D1D" w:rsidP="007D2B76">
            <w:pPr>
              <w:pStyle w:val="Default"/>
              <w:jc w:val="both"/>
              <w:rPr>
                <w:lang w:eastAsia="ru-RU"/>
              </w:rPr>
            </w:pPr>
            <w:r w:rsidRPr="00B30748">
              <w:rPr>
                <w:lang w:eastAsia="ru-RU"/>
              </w:rPr>
              <w:t xml:space="preserve">      </w:t>
            </w:r>
          </w:p>
          <w:p w:rsidR="002C6D1D" w:rsidRPr="00227C39" w:rsidRDefault="003A393B" w:rsidP="007D2B76">
            <w:pPr>
              <w:pStyle w:val="Default"/>
              <w:jc w:val="both"/>
              <w:rPr>
                <w:iCs/>
              </w:rPr>
            </w:pPr>
            <w:r w:rsidRPr="00BE2DAA">
              <w:rPr>
                <w:rFonts w:eastAsia="Times New Roman"/>
                <w:lang w:eastAsia="ru-RU"/>
              </w:rPr>
              <w:t xml:space="preserve">Состав и объем </w:t>
            </w:r>
            <w:r>
              <w:rPr>
                <w:rFonts w:eastAsia="Times New Roman"/>
                <w:lang w:eastAsia="ru-RU"/>
              </w:rPr>
              <w:t>услуг/</w:t>
            </w:r>
            <w:r w:rsidRPr="00DE5967">
              <w:rPr>
                <w:rFonts w:eastAsia="Times New Roman"/>
                <w:lang w:eastAsia="ru-RU"/>
              </w:rPr>
              <w:t xml:space="preserve">работ и иные требования к </w:t>
            </w:r>
            <w:r>
              <w:rPr>
                <w:rFonts w:eastAsia="Times New Roman"/>
                <w:lang w:eastAsia="ru-RU"/>
              </w:rPr>
              <w:t>услугам/</w:t>
            </w:r>
            <w:r w:rsidRPr="00DE5967">
              <w:rPr>
                <w:rFonts w:eastAsia="Times New Roman"/>
                <w:lang w:eastAsia="ru-RU"/>
              </w:rPr>
              <w:t xml:space="preserve">работам определяются Спецификацией (Приложение №1.1 к </w:t>
            </w:r>
            <w:r>
              <w:rPr>
                <w:rFonts w:eastAsia="Times New Roman"/>
                <w:lang w:eastAsia="ru-RU"/>
              </w:rPr>
              <w:t>Документации о закупке</w:t>
            </w:r>
            <w:r w:rsidRPr="00DE5967">
              <w:rPr>
                <w:rFonts w:eastAsia="Times New Roman"/>
                <w:lang w:eastAsia="ru-RU"/>
              </w:rPr>
              <w:t xml:space="preserve">), Техническим заданием (Приложение №1.2 к </w:t>
            </w:r>
            <w:r>
              <w:rPr>
                <w:rFonts w:eastAsia="Times New Roman"/>
                <w:lang w:eastAsia="ru-RU"/>
              </w:rPr>
              <w:t>Документации о закупке</w:t>
            </w:r>
            <w:r w:rsidRPr="00DE5967">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DE5967">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393B" w:rsidRPr="003A393B" w:rsidRDefault="003A393B" w:rsidP="003A393B">
            <w:pPr>
              <w:autoSpaceDE w:val="0"/>
              <w:autoSpaceDN w:val="0"/>
              <w:adjustRightInd w:val="0"/>
              <w:jc w:val="both"/>
              <w:rPr>
                <w:rFonts w:eastAsiaTheme="minorHAnsi"/>
                <w:color w:val="000000"/>
                <w:lang w:eastAsia="en-US"/>
              </w:rPr>
            </w:pPr>
            <w:r w:rsidRPr="003A393B">
              <w:rPr>
                <w:rFonts w:eastAsiaTheme="minorHAnsi"/>
                <w:color w:val="000000"/>
                <w:lang w:eastAsia="en-US"/>
              </w:rPr>
              <w:lastRenderedPageBreak/>
              <w:t>Периодический медицинский осмотр работников ПАО «Башинформсвязь» проводится в соответствии с приказом</w:t>
            </w:r>
          </w:p>
          <w:p w:rsidR="003A393B" w:rsidRPr="003A393B" w:rsidRDefault="003A393B" w:rsidP="003A393B">
            <w:pPr>
              <w:autoSpaceDE w:val="0"/>
              <w:autoSpaceDN w:val="0"/>
              <w:adjustRightInd w:val="0"/>
              <w:jc w:val="both"/>
            </w:pPr>
            <w:proofErr w:type="spellStart"/>
            <w:r w:rsidRPr="003A393B">
              <w:t>Минздравсоцразвития</w:t>
            </w:r>
            <w:proofErr w:type="spellEnd"/>
            <w:r w:rsidRPr="003A393B">
              <w:t xml:space="preserve"> РФ от 12.04.2011 года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(в ред. Приказа Минздрава России от 05.12.2014 N 801н).</w:t>
            </w:r>
          </w:p>
          <w:p w:rsidR="003A393B" w:rsidRPr="003A393B" w:rsidRDefault="003A393B" w:rsidP="003A393B">
            <w:pPr>
              <w:autoSpaceDE w:val="0"/>
              <w:autoSpaceDN w:val="0"/>
              <w:adjustRightInd w:val="0"/>
              <w:jc w:val="both"/>
            </w:pPr>
          </w:p>
          <w:p w:rsidR="003A393B" w:rsidRPr="003A393B" w:rsidRDefault="003A393B" w:rsidP="003A393B">
            <w:pPr>
              <w:spacing w:after="160" w:line="259" w:lineRule="auto"/>
              <w:jc w:val="both"/>
              <w:rPr>
                <w:rFonts w:eastAsiaTheme="minorHAnsi"/>
                <w:b/>
                <w:i/>
                <w:lang w:eastAsia="en-US"/>
              </w:rPr>
            </w:pPr>
            <w:r w:rsidRPr="003A393B">
              <w:rPr>
                <w:rFonts w:eastAsiaTheme="minorHAnsi"/>
                <w:b/>
                <w:i/>
                <w:color w:val="000000"/>
                <w:kern w:val="36"/>
                <w:lang w:eastAsia="en-US"/>
              </w:rPr>
              <w:t xml:space="preserve">Исполнитель должен иметь </w:t>
            </w:r>
            <w:r w:rsidRPr="003A393B">
              <w:rPr>
                <w:rFonts w:eastAsiaTheme="minorHAnsi"/>
                <w:b/>
                <w:i/>
                <w:color w:val="000000"/>
                <w:lang w:eastAsia="en-US"/>
              </w:rPr>
              <w:t>действующую лицензию (разрешение) на оказание медицинских услуг, в том числе на оказание медицинских услуг, являющихся предметом закупки.</w:t>
            </w:r>
          </w:p>
          <w:p w:rsidR="002C6D1D" w:rsidRPr="005C24A0" w:rsidRDefault="003A393B" w:rsidP="003A393B">
            <w:pPr>
              <w:jc w:val="both"/>
            </w:pPr>
            <w:r w:rsidRPr="003A393B">
              <w:rPr>
                <w:rFonts w:eastAsiaTheme="minorHAnsi"/>
                <w:lang w:eastAsia="en-US"/>
              </w:rPr>
              <w:t xml:space="preserve">Оказываемые медицинские услуги должны соответствовать техническим и функциональным требованиям, предъявляемым к данным видам услуг, требования к услугам определяются условиями </w:t>
            </w:r>
            <w:r w:rsidRPr="003A393B">
              <w:t>Спецификацией (Приложение №1.1 к Документации о закупке), Техническим заданием (Приложение №1.2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bookmarkStart w:id="15" w:name="_GoBack"/>
            <w:bookmarkEnd w:id="15"/>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0CAA" w:rsidRPr="00F60CAA" w:rsidRDefault="00F60CAA" w:rsidP="00F60CAA">
            <w:pPr>
              <w:spacing w:after="160" w:line="259" w:lineRule="auto"/>
              <w:jc w:val="both"/>
              <w:rPr>
                <w:rFonts w:eastAsiaTheme="minorHAnsi"/>
                <w:iCs/>
                <w:lang w:eastAsia="en-US"/>
              </w:rPr>
            </w:pPr>
            <w:r w:rsidRPr="00F60CAA">
              <w:rPr>
                <w:rFonts w:eastAsiaTheme="minorHAnsi"/>
                <w:iCs/>
                <w:lang w:eastAsia="en-U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60CAA" w:rsidRPr="00F60CAA" w:rsidRDefault="00F60CAA" w:rsidP="00F60CAA">
            <w:pPr>
              <w:autoSpaceDE w:val="0"/>
              <w:autoSpaceDN w:val="0"/>
              <w:adjustRightInd w:val="0"/>
              <w:spacing w:after="160" w:line="259" w:lineRule="auto"/>
              <w:jc w:val="both"/>
              <w:rPr>
                <w:rFonts w:eastAsia="Calibri"/>
                <w:b/>
                <w:iCs/>
                <w:lang w:eastAsia="en-US"/>
              </w:rPr>
            </w:pPr>
            <w:r w:rsidRPr="00F60CAA">
              <w:rPr>
                <w:rFonts w:eastAsia="Calibri"/>
                <w:b/>
                <w:iCs/>
                <w:lang w:eastAsia="en-US"/>
              </w:rPr>
              <w:t xml:space="preserve">800 000 (восемьсот тысяч) рублей 00 копеек, НДС не облагается </w:t>
            </w:r>
          </w:p>
          <w:p w:rsidR="00F60CAA" w:rsidRPr="00F60CAA" w:rsidRDefault="00F60CAA" w:rsidP="00F60CAA">
            <w:pPr>
              <w:autoSpaceDE w:val="0"/>
              <w:autoSpaceDN w:val="0"/>
              <w:adjustRightInd w:val="0"/>
              <w:spacing w:after="120" w:line="259" w:lineRule="auto"/>
              <w:jc w:val="both"/>
              <w:rPr>
                <w:rFonts w:eastAsia="Calibri"/>
                <w:iCs/>
                <w:lang w:eastAsia="en-US"/>
              </w:rPr>
            </w:pPr>
            <w:r w:rsidRPr="00F60CAA">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60CAA" w:rsidRPr="00F60CAA" w:rsidRDefault="00F60CAA" w:rsidP="00F60CAA">
            <w:pPr>
              <w:spacing w:before="120" w:after="120" w:line="259" w:lineRule="auto"/>
              <w:jc w:val="both"/>
              <w:rPr>
                <w:rFonts w:eastAsiaTheme="minorHAnsi"/>
                <w:iCs/>
                <w:lang w:eastAsia="en-US"/>
              </w:rPr>
            </w:pPr>
            <w:r w:rsidRPr="00F60CAA">
              <w:rPr>
                <w:rFonts w:eastAsiaTheme="minorHAnsi"/>
                <w:iCs/>
                <w:lang w:eastAsia="en-U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60CAA" w:rsidRPr="00F60CAA" w:rsidRDefault="00F60CAA" w:rsidP="00F60CAA">
            <w:pPr>
              <w:autoSpaceDE w:val="0"/>
              <w:autoSpaceDN w:val="0"/>
              <w:adjustRightInd w:val="0"/>
              <w:spacing w:before="120" w:after="120"/>
              <w:jc w:val="both"/>
              <w:rPr>
                <w:rFonts w:eastAsia="Calibri"/>
                <w:iCs/>
                <w:color w:val="000000"/>
                <w:lang w:eastAsia="en-US"/>
              </w:rPr>
            </w:pPr>
            <w:r w:rsidRPr="00F60CAA">
              <w:rPr>
                <w:rFonts w:eastAsia="Calibri"/>
                <w:iCs/>
                <w:color w:val="000000"/>
                <w:lang w:eastAsia="en-US"/>
              </w:rPr>
              <w:t xml:space="preserve">Цена договора, заключаемого по итогам Закупки, определяется путем произведения начальной (максимальной) цены договора, на коэффициент снижения цены </w:t>
            </w:r>
            <w:r w:rsidRPr="00F60CAA">
              <w:rPr>
                <w:rFonts w:eastAsia="Calibri"/>
                <w:color w:val="000000" w:themeColor="text1"/>
                <w:lang w:eastAsia="en-US"/>
              </w:rPr>
              <w:t>предложенный участником</w:t>
            </w:r>
            <w:r w:rsidRPr="00F60CAA">
              <w:rPr>
                <w:rFonts w:eastAsia="Calibri"/>
                <w:iCs/>
                <w:color w:val="000000"/>
                <w:lang w:eastAsia="en-US"/>
              </w:rPr>
              <w:t>, с которым заключается договор по итогам проведенной Закупки.</w:t>
            </w:r>
          </w:p>
          <w:p w:rsidR="00F60CAA" w:rsidRPr="00F60CAA" w:rsidRDefault="00F60CAA" w:rsidP="00F60CAA">
            <w:pPr>
              <w:autoSpaceDE w:val="0"/>
              <w:autoSpaceDN w:val="0"/>
              <w:adjustRightInd w:val="0"/>
              <w:spacing w:before="120" w:after="120"/>
              <w:jc w:val="both"/>
              <w:rPr>
                <w:rFonts w:eastAsia="Calibri"/>
                <w:iCs/>
                <w:lang w:eastAsia="en-US"/>
              </w:rPr>
            </w:pPr>
            <w:r w:rsidRPr="00F60CAA">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F60CAA" w:rsidRPr="00F60CAA" w:rsidRDefault="00F60CAA" w:rsidP="00F60CAA">
            <w:pPr>
              <w:autoSpaceDE w:val="0"/>
              <w:autoSpaceDN w:val="0"/>
              <w:adjustRightInd w:val="0"/>
              <w:jc w:val="both"/>
              <w:rPr>
                <w:rFonts w:eastAsia="Calibri"/>
                <w:iCs/>
                <w:color w:val="000000"/>
                <w:lang w:eastAsia="en-US"/>
              </w:rPr>
            </w:pPr>
            <w:r w:rsidRPr="00F60CAA">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Спецификации (</w:t>
            </w:r>
            <w:r w:rsidRPr="00F60CAA">
              <w:rPr>
                <w:color w:val="000000"/>
              </w:rPr>
              <w:t>Приложение №1.1 к Документации о закупке).</w:t>
            </w:r>
          </w:p>
          <w:p w:rsidR="002C6D1D" w:rsidRPr="00235AF8" w:rsidRDefault="00F60CAA" w:rsidP="00F60CAA">
            <w:pPr>
              <w:tabs>
                <w:tab w:val="left" w:pos="851"/>
              </w:tabs>
              <w:jc w:val="both"/>
            </w:pPr>
            <w:r w:rsidRPr="00F60CAA">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w:t>
            </w:r>
            <w:r w:rsidRPr="00F60CAA">
              <w:rPr>
                <w:rFonts w:eastAsiaTheme="minorHAnsi"/>
                <w:iCs/>
                <w:lang w:eastAsia="en-US"/>
              </w:rPr>
              <w:lastRenderedPageBreak/>
              <w:t>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w:t>
                  </w:r>
                  <w:r w:rsidRPr="00F84878">
                    <w:rPr>
                      <w:rFonts w:cs="Arial"/>
                      <w:color w:val="000000"/>
                    </w:rPr>
                    <w:lastRenderedPageBreak/>
                    <w:t xml:space="preserve">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proofErr w:type="gramStart"/>
                  <w:r>
                    <w:rPr>
                      <w:rFonts w:cs="Arial"/>
                      <w:color w:val="000000"/>
                    </w:rPr>
                    <w:t xml:space="preserve">   </w:t>
                  </w:r>
                  <w:r w:rsidRPr="00B4500E">
                    <w:rPr>
                      <w:rFonts w:cs="Arial"/>
                      <w:color w:val="000000"/>
                    </w:rPr>
                    <w:t>«</w:t>
                  </w:r>
                  <w:proofErr w:type="gramEnd"/>
                  <w:r w:rsidRPr="00B4500E">
                    <w:rPr>
                      <w:rFonts w:cs="Arial"/>
                      <w:color w:val="000000"/>
                    </w:rPr>
                    <w:t>О развитии малого и среднего предпринимательства в Российской Федерации»</w:t>
                  </w:r>
                </w:p>
                <w:p w:rsidR="003A393B" w:rsidRDefault="003A393B" w:rsidP="007D2B76">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Default="002C6D1D" w:rsidP="00D629A2">
                  <w:pPr>
                    <w:jc w:val="both"/>
                    <w:rPr>
                      <w:rFonts w:cs="Arial"/>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p w:rsidR="003A393B" w:rsidRPr="00F84878" w:rsidRDefault="003A393B" w:rsidP="00D629A2">
                  <w:pPr>
                    <w:jc w:val="both"/>
                    <w:rPr>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F1640" w:rsidRPr="00F84878" w:rsidRDefault="00BF1640" w:rsidP="00BF164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BF1640" w:rsidRPr="00F84878" w:rsidTr="00BF1640">
              <w:tc>
                <w:tcPr>
                  <w:tcW w:w="3760" w:type="dxa"/>
                  <w:shd w:val="clear" w:color="auto" w:fill="auto"/>
                </w:tcPr>
                <w:p w:rsidR="00BF1640" w:rsidRPr="00F84878" w:rsidRDefault="00BF1640" w:rsidP="00BF164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BF1640" w:rsidRPr="00F84878" w:rsidRDefault="00BF1640" w:rsidP="00BF1640">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BF1640" w:rsidRPr="00F84878" w:rsidTr="00BF1640">
              <w:tc>
                <w:tcPr>
                  <w:tcW w:w="3760" w:type="dxa"/>
                  <w:shd w:val="clear" w:color="auto" w:fill="auto"/>
                </w:tcPr>
                <w:p w:rsidR="00BF1640" w:rsidRPr="00043F2F" w:rsidRDefault="00BF1640" w:rsidP="00F60CAA">
                  <w:pPr>
                    <w:autoSpaceDE w:val="0"/>
                    <w:autoSpaceDN w:val="0"/>
                    <w:adjustRightInd w:val="0"/>
                    <w:jc w:val="both"/>
                    <w:rPr>
                      <w:rFonts w:cs="Arial"/>
                      <w:b/>
                      <w:i/>
                      <w:color w:val="FF0000"/>
                    </w:rPr>
                  </w:pPr>
                  <w:r w:rsidRPr="00043F2F">
                    <w:rPr>
                      <w:rFonts w:eastAsiaTheme="minorHAnsi"/>
                      <w:lang w:eastAsia="en-US"/>
                    </w:rPr>
                    <w:t>Н</w:t>
                  </w:r>
                  <w:r w:rsidRPr="00EB04A4">
                    <w:rPr>
                      <w:rFonts w:eastAsiaTheme="minorHAnsi"/>
                      <w:lang w:eastAsia="en-US"/>
                    </w:rPr>
                    <w:t>аличи</w:t>
                  </w:r>
                  <w:r w:rsidRPr="00043F2F">
                    <w:rPr>
                      <w:rFonts w:eastAsiaTheme="minorHAnsi"/>
                      <w:lang w:eastAsia="en-US"/>
                    </w:rPr>
                    <w:t>е</w:t>
                  </w:r>
                  <w:r w:rsidRPr="00EB04A4">
                    <w:rPr>
                      <w:rFonts w:eastAsiaTheme="minorHAnsi"/>
                      <w:lang w:eastAsia="en-US"/>
                    </w:rPr>
                    <w:t xml:space="preserve"> лицензии на осуществление медицинской </w:t>
                  </w:r>
                  <w:r w:rsidRPr="00EB04A4">
                    <w:rPr>
                      <w:rFonts w:eastAsiaTheme="minorHAnsi"/>
                      <w:lang w:eastAsia="en-US"/>
                    </w:rPr>
                    <w:lastRenderedPageBreak/>
                    <w:t>деятельности, предусматривающей выполнение работ (услуг) по медицинским осмотрам</w:t>
                  </w:r>
                </w:p>
              </w:tc>
              <w:tc>
                <w:tcPr>
                  <w:tcW w:w="3895" w:type="dxa"/>
                  <w:shd w:val="clear" w:color="auto" w:fill="auto"/>
                </w:tcPr>
                <w:p w:rsidR="00BF1640" w:rsidRPr="00043F2F" w:rsidRDefault="00BF1640" w:rsidP="00BF1640">
                  <w:r w:rsidRPr="00043F2F">
                    <w:lastRenderedPageBreak/>
                    <w:t xml:space="preserve">Копия Лицензии на осуществление </w:t>
                  </w:r>
                  <w:r w:rsidRPr="00E0314F">
                    <w:t xml:space="preserve">медицинской деятельности </w:t>
                  </w:r>
                  <w:r w:rsidRPr="00E0314F">
                    <w:lastRenderedPageBreak/>
                    <w:t>(</w:t>
                  </w:r>
                  <w:r>
                    <w:t>включая</w:t>
                  </w:r>
                  <w:r w:rsidRPr="00E0314F">
                    <w:t xml:space="preserve"> </w:t>
                  </w:r>
                  <w:r w:rsidRPr="00E0314F">
                    <w:rPr>
                      <w:bCs/>
                    </w:rPr>
                    <w:t>медицински</w:t>
                  </w:r>
                  <w:r>
                    <w:rPr>
                      <w:bCs/>
                    </w:rPr>
                    <w:t>е</w:t>
                  </w:r>
                  <w:r w:rsidRPr="00E0314F">
                    <w:rPr>
                      <w:bCs/>
                    </w:rPr>
                    <w:t xml:space="preserve"> осмотр</w:t>
                  </w:r>
                  <w:r>
                    <w:rPr>
                      <w:bCs/>
                    </w:rPr>
                    <w:t>ы</w:t>
                  </w:r>
                  <w:r w:rsidRPr="00E0314F">
                    <w:rPr>
                      <w:bCs/>
                    </w:rPr>
                    <w:t xml:space="preserve"> (предварительны</w:t>
                  </w:r>
                  <w:r>
                    <w:rPr>
                      <w:bCs/>
                    </w:rPr>
                    <w:t>е</w:t>
                  </w:r>
                  <w:r w:rsidRPr="00E0314F">
                    <w:rPr>
                      <w:bCs/>
                    </w:rPr>
                    <w:t xml:space="preserve">, </w:t>
                  </w:r>
                  <w:r w:rsidR="00F60CAA" w:rsidRPr="00E0314F">
                    <w:rPr>
                      <w:bCs/>
                    </w:rPr>
                    <w:t>периодически</w:t>
                  </w:r>
                  <w:r w:rsidR="00F60CAA">
                    <w:rPr>
                      <w:bCs/>
                    </w:rPr>
                    <w:t>е)</w:t>
                  </w:r>
                </w:p>
                <w:p w:rsidR="00BF1640" w:rsidRPr="00043F2F" w:rsidRDefault="00BF1640" w:rsidP="00BF1640">
                  <w:pPr>
                    <w:ind w:right="176"/>
                    <w:jc w:val="both"/>
                    <w:rPr>
                      <w:rFonts w:cs="Arial"/>
                      <w:b/>
                      <w:color w:val="FF0000"/>
                    </w:rPr>
                  </w:pPr>
                </w:p>
              </w:tc>
            </w:tr>
          </w:tbl>
          <w:p w:rsidR="00BF1640" w:rsidRDefault="00BF1640" w:rsidP="003B25CB">
            <w:pPr>
              <w:jc w:val="both"/>
              <w:rPr>
                <w:rFonts w:cs="Arial"/>
                <w:color w:val="000000"/>
              </w:rPr>
            </w:pPr>
          </w:p>
          <w:p w:rsidR="002C6D1D" w:rsidRPr="0014229A" w:rsidRDefault="002C6D1D" w:rsidP="00F60CAA">
            <w:pPr>
              <w:jc w:val="both"/>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1304"/>
              <w:gridCol w:w="3119"/>
            </w:tblGrid>
            <w:tr w:rsidR="002C6D1D" w:rsidTr="00F60CAA">
              <w:tc>
                <w:tcPr>
                  <w:tcW w:w="3147"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1304"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2C6D1D" w:rsidTr="00F60CAA">
              <w:tc>
                <w:tcPr>
                  <w:tcW w:w="3147" w:type="dxa"/>
                  <w:shd w:val="clear" w:color="auto" w:fill="auto"/>
                </w:tcPr>
                <w:p w:rsidR="002C6D1D" w:rsidRPr="006603A3" w:rsidRDefault="003A393B" w:rsidP="003A393B">
                  <w:pPr>
                    <w:pStyle w:val="a4"/>
                    <w:ind w:left="0"/>
                    <w:rPr>
                      <w:rFonts w:cs="Arial"/>
                      <w:color w:val="000000"/>
                    </w:rPr>
                  </w:pPr>
                  <w:r>
                    <w:t>Коэффициент снижения цены</w:t>
                  </w:r>
                </w:p>
              </w:tc>
              <w:tc>
                <w:tcPr>
                  <w:tcW w:w="1304" w:type="dxa"/>
                  <w:shd w:val="clear" w:color="auto" w:fill="auto"/>
                </w:tcPr>
                <w:p w:rsidR="002C6D1D" w:rsidRPr="006603A3" w:rsidRDefault="002C6D1D" w:rsidP="00281CCB">
                  <w:pPr>
                    <w:pStyle w:val="a4"/>
                    <w:ind w:left="0"/>
                    <w:rPr>
                      <w:rFonts w:cs="Arial"/>
                      <w:color w:val="000000"/>
                    </w:rPr>
                  </w:pPr>
                  <w:r w:rsidRPr="006603A3">
                    <w:rPr>
                      <w:rFonts w:cs="Arial"/>
                      <w:color w:val="000000"/>
                    </w:rPr>
                    <w:t>9</w:t>
                  </w:r>
                  <w:r>
                    <w:rPr>
                      <w:rFonts w:cs="Arial"/>
                      <w:color w:val="000000"/>
                    </w:rPr>
                    <w:t>7%</w:t>
                  </w:r>
                </w:p>
              </w:tc>
              <w:tc>
                <w:tcPr>
                  <w:tcW w:w="3119" w:type="dxa"/>
                  <w:shd w:val="clear" w:color="auto" w:fill="auto"/>
                </w:tcPr>
                <w:p w:rsidR="002C6D1D" w:rsidRPr="006603A3" w:rsidRDefault="003A393B" w:rsidP="00BF1640">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w:t>
                  </w:r>
                  <w:r w:rsidR="00BF1640">
                    <w:rPr>
                      <w:rFonts w:cs="Arial"/>
                    </w:rPr>
                    <w:t>х</w:t>
                  </w:r>
                  <w:r w:rsidRPr="00A14006">
                    <w:rPr>
                      <w:rFonts w:cs="Arial"/>
                    </w:rPr>
                    <w:t xml:space="preserve"> в Приложении</w:t>
                  </w:r>
                  <w:r w:rsidRPr="00A14006">
                    <w:t xml:space="preserve"> </w:t>
                  </w:r>
                  <w:r w:rsidRPr="00782A7C">
                    <w:t>№</w:t>
                  </w:r>
                  <w:r>
                    <w:t xml:space="preserve"> 1.1.</w:t>
                  </w:r>
                  <w:r w:rsidRPr="00782A7C">
                    <w:t xml:space="preserve"> к </w:t>
                  </w:r>
                  <w:r>
                    <w:t>Документации о закупке.</w:t>
                  </w:r>
                </w:p>
              </w:tc>
            </w:tr>
            <w:tr w:rsidR="00BF1640" w:rsidTr="00F60CAA">
              <w:tc>
                <w:tcPr>
                  <w:tcW w:w="3147" w:type="dxa"/>
                  <w:shd w:val="clear" w:color="auto" w:fill="auto"/>
                </w:tcPr>
                <w:p w:rsidR="00BF1640" w:rsidRPr="00F4084D" w:rsidRDefault="00BF1640" w:rsidP="00BF1640">
                  <w:r w:rsidRPr="00F4084D">
                    <w:t>Сроки оплаты по договору</w:t>
                  </w:r>
                </w:p>
              </w:tc>
              <w:tc>
                <w:tcPr>
                  <w:tcW w:w="1304" w:type="dxa"/>
                  <w:shd w:val="clear" w:color="auto" w:fill="auto"/>
                </w:tcPr>
                <w:p w:rsidR="00BF1640" w:rsidRPr="00F4084D" w:rsidRDefault="00BF1640" w:rsidP="00BF1640">
                  <w:r w:rsidRPr="00F4084D">
                    <w:t>3%</w:t>
                  </w:r>
                </w:p>
              </w:tc>
              <w:tc>
                <w:tcPr>
                  <w:tcW w:w="3119" w:type="dxa"/>
                  <w:shd w:val="clear" w:color="auto" w:fill="auto"/>
                </w:tcPr>
                <w:p w:rsidR="00BF1640" w:rsidRDefault="00BF1640" w:rsidP="00BF1640">
                  <w:r w:rsidRPr="00F4084D">
                    <w:t>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1640" w:rsidRPr="00BF1640" w:rsidRDefault="00BF1640" w:rsidP="00BF1640">
            <w:pPr>
              <w:autoSpaceDE w:val="0"/>
              <w:autoSpaceDN w:val="0"/>
              <w:adjustRightInd w:val="0"/>
              <w:jc w:val="both"/>
              <w:rPr>
                <w:rFonts w:eastAsia="Calibri"/>
                <w:iCs/>
                <w:color w:val="000000"/>
                <w:lang w:eastAsia="en-US"/>
              </w:rPr>
            </w:pPr>
            <w:r w:rsidRPr="00BF1640">
              <w:t xml:space="preserve">Место оказания услуг: </w:t>
            </w:r>
            <w:r w:rsidRPr="00BF1640">
              <w:rPr>
                <w:rFonts w:eastAsiaTheme="minorHAnsi"/>
                <w:lang w:eastAsia="en-US"/>
              </w:rPr>
              <w:t>По месту нахождения Исполнителя (г. Уфа),</w:t>
            </w:r>
            <w:r w:rsidRPr="00BF1640">
              <w:rPr>
                <w:rFonts w:eastAsiaTheme="minorHAnsi"/>
                <w:iCs/>
                <w:lang w:eastAsia="en-US"/>
              </w:rPr>
              <w:t xml:space="preserve"> согласно условиям Приложений №№ 1.1, 1.2, 2 к </w:t>
            </w:r>
            <w:r w:rsidRPr="00BF1640">
              <w:t>Документации о закупке</w:t>
            </w:r>
          </w:p>
          <w:p w:rsidR="00BF1640" w:rsidRDefault="00BF1640" w:rsidP="00BF1640">
            <w:pPr>
              <w:autoSpaceDE w:val="0"/>
              <w:autoSpaceDN w:val="0"/>
              <w:adjustRightInd w:val="0"/>
              <w:jc w:val="both"/>
              <w:rPr>
                <w:rFonts w:eastAsia="Calibri"/>
                <w:iCs/>
                <w:color w:val="000000"/>
                <w:lang w:eastAsia="en-US"/>
              </w:rPr>
            </w:pPr>
          </w:p>
          <w:p w:rsidR="002C6D1D" w:rsidRPr="00F84878" w:rsidRDefault="00BF1640" w:rsidP="00BF1640">
            <w:pPr>
              <w:autoSpaceDE w:val="0"/>
              <w:autoSpaceDN w:val="0"/>
              <w:adjustRightInd w:val="0"/>
              <w:jc w:val="both"/>
            </w:pPr>
            <w:r w:rsidRPr="00BF1640">
              <w:rPr>
                <w:rFonts w:eastAsia="Calibri"/>
                <w:iCs/>
                <w:color w:val="000000"/>
                <w:lang w:eastAsia="en-US"/>
              </w:rPr>
              <w:t>Срок оказания услуг: с 26.09.2016 года по 31.10.2016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60CA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60CAA">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включая обоснование</w:t>
            </w:r>
            <w:r w:rsidR="00BF1640">
              <w:t xml:space="preserve"> и расчет </w:t>
            </w:r>
            <w:r w:rsidR="005E04C1" w:rsidRPr="00326927">
              <w:t xml:space="preserve">цены договора </w:t>
            </w:r>
            <w:r w:rsidR="00BF1640">
              <w:t>(Спецификация) по форме приложения № 1.1. к Документации о закупке</w:t>
            </w:r>
            <w:r w:rsidR="00BF1640" w:rsidRPr="006603A3">
              <w:t xml:space="preserve"> (указанный документ также обязательно должен быть представлен в формате </w:t>
            </w:r>
            <w:proofErr w:type="spellStart"/>
            <w:r w:rsidR="00BF1640" w:rsidRPr="006603A3">
              <w:t>Excel</w:t>
            </w:r>
            <w:proofErr w:type="spellEnd"/>
            <w:r w:rsidR="00BF1640" w:rsidRPr="006603A3">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60CAA">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60CA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BF1640" w:rsidRDefault="00BF1640" w:rsidP="00BF1640">
            <w:pPr>
              <w:ind w:firstLine="486"/>
              <w:jc w:val="both"/>
            </w:pPr>
            <w:r w:rsidRPr="006603A3">
              <w:t>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копию Лицензии на осуществление медицинской деятельности (</w:t>
            </w:r>
            <w:r>
              <w:t xml:space="preserve">включая </w:t>
            </w:r>
            <w:r w:rsidRPr="006603A3">
              <w:rPr>
                <w:bCs/>
              </w:rPr>
              <w:t>медицински</w:t>
            </w:r>
            <w:r>
              <w:rPr>
                <w:bCs/>
              </w:rPr>
              <w:t>е</w:t>
            </w:r>
            <w:r w:rsidRPr="006603A3">
              <w:rPr>
                <w:bCs/>
              </w:rPr>
              <w:t xml:space="preserve"> осмотр</w:t>
            </w:r>
            <w:r>
              <w:rPr>
                <w:bCs/>
              </w:rPr>
              <w:t>ы</w:t>
            </w:r>
            <w:r w:rsidRPr="006603A3">
              <w:rPr>
                <w:bCs/>
              </w:rPr>
              <w:t xml:space="preserve"> (предв</w:t>
            </w:r>
            <w:r>
              <w:rPr>
                <w:bCs/>
              </w:rPr>
              <w:t>арительные</w:t>
            </w:r>
            <w:r w:rsidRPr="006603A3">
              <w:rPr>
                <w:bCs/>
              </w:rPr>
              <w:t>, периодически</w:t>
            </w:r>
            <w:r>
              <w:rPr>
                <w:bCs/>
              </w:rPr>
              <w:t>е)</w:t>
            </w:r>
            <w:r w:rsidRPr="006603A3">
              <w:t>.</w:t>
            </w:r>
            <w:r>
              <w:t xml:space="preserve"> </w:t>
            </w:r>
          </w:p>
          <w:p w:rsidR="0014229A" w:rsidRDefault="00EC73C2"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w:t>
            </w:r>
            <w:r w:rsidR="0014229A" w:rsidRPr="00057935">
              <w:lastRenderedPageBreak/>
              <w:t>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60CA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60CA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C73C2" w:rsidRPr="00EC73C2" w:rsidRDefault="00EC73C2" w:rsidP="00EC73C2">
            <w:pPr>
              <w:jc w:val="both"/>
            </w:pPr>
            <w:r w:rsidRPr="00EC73C2">
              <w:t xml:space="preserve">Оплата оказываемых услуг производится Заказчиком на основании выставленного Исполнителем счета </w:t>
            </w:r>
            <w:r w:rsidRPr="00EC73C2">
              <w:t>в течение</w:t>
            </w:r>
            <w:r w:rsidRPr="00EC73C2">
              <w:t xml:space="preserve"> 30 (тридцати) календарных дней с даты подписания Сторонами Акта приемки-сдачи услуг. Датой платежа считается дата списания денежных средств с расчетного счета Заказчика.</w:t>
            </w:r>
          </w:p>
          <w:p w:rsidR="0014229A" w:rsidRPr="005C24A0" w:rsidRDefault="0014229A" w:rsidP="007D2B76">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EE369C">
        <w:t>Спецификация</w:t>
      </w:r>
      <w:r w:rsidR="00C20F72">
        <w:t xml:space="preserve"> (Приложение № </w:t>
      </w:r>
      <w:r w:rsidR="00CD25D5">
        <w:t>1</w:t>
      </w:r>
      <w:r w:rsidR="00EC73C2">
        <w:t>.1</w:t>
      </w:r>
      <w:r w:rsidR="00C20F72">
        <w:t xml:space="preserve"> к </w:t>
      </w:r>
      <w:r w:rsidR="007D2B76">
        <w:t>настоящей Документации о закупке</w:t>
      </w:r>
      <w:r w:rsidR="00C20F72">
        <w:t>),</w:t>
      </w:r>
      <w:r w:rsidR="00EC73C2">
        <w:t xml:space="preserve">Техническое задание </w:t>
      </w:r>
      <w:r w:rsidR="00EC73C2">
        <w:t>(Приложение № 1.</w:t>
      </w:r>
      <w:r w:rsidR="00EC73C2">
        <w:t>2</w:t>
      </w:r>
      <w:r w:rsidR="00EC73C2">
        <w:t xml:space="preserve"> к настоящей Документации о закупке),</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34C" w:rsidRDefault="0031634C" w:rsidP="0014229A">
      <w:r>
        <w:separator/>
      </w:r>
    </w:p>
  </w:endnote>
  <w:endnote w:type="continuationSeparator" w:id="0">
    <w:p w:rsidR="0031634C" w:rsidRDefault="0031634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34C" w:rsidRDefault="0031634C" w:rsidP="0014229A">
      <w:r>
        <w:separator/>
      </w:r>
    </w:p>
  </w:footnote>
  <w:footnote w:type="continuationSeparator" w:id="0">
    <w:p w:rsidR="0031634C" w:rsidRDefault="0031634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640" w:rsidRDefault="00BF1640">
    <w:pPr>
      <w:pStyle w:val="a6"/>
      <w:jc w:val="center"/>
    </w:pPr>
    <w:r>
      <w:fldChar w:fldCharType="begin"/>
    </w:r>
    <w:r>
      <w:instrText>PAGE   \* MERGEFORMAT</w:instrText>
    </w:r>
    <w:r>
      <w:fldChar w:fldCharType="separate"/>
    </w:r>
    <w:r w:rsidR="00EB7282">
      <w:rPr>
        <w:noProof/>
      </w:rPr>
      <w:t>1</w:t>
    </w:r>
    <w:r>
      <w:fldChar w:fldCharType="end"/>
    </w:r>
  </w:p>
  <w:p w:rsidR="00BF1640" w:rsidRDefault="00BF16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C6D1D"/>
    <w:rsid w:val="002D059D"/>
    <w:rsid w:val="003042B3"/>
    <w:rsid w:val="00311256"/>
    <w:rsid w:val="0031634C"/>
    <w:rsid w:val="0032055F"/>
    <w:rsid w:val="00326927"/>
    <w:rsid w:val="0033356E"/>
    <w:rsid w:val="003673F7"/>
    <w:rsid w:val="00373528"/>
    <w:rsid w:val="00376B4B"/>
    <w:rsid w:val="00393AC3"/>
    <w:rsid w:val="003A393B"/>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121C7"/>
    <w:rsid w:val="00532169"/>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A40EB"/>
    <w:rsid w:val="008C6A98"/>
    <w:rsid w:val="008E11DD"/>
    <w:rsid w:val="008F26C5"/>
    <w:rsid w:val="00937E6E"/>
    <w:rsid w:val="00997A4E"/>
    <w:rsid w:val="009A662F"/>
    <w:rsid w:val="009B7532"/>
    <w:rsid w:val="009E3F77"/>
    <w:rsid w:val="009E6C27"/>
    <w:rsid w:val="00A02B2E"/>
    <w:rsid w:val="00A24CB7"/>
    <w:rsid w:val="00A27D60"/>
    <w:rsid w:val="00A667E3"/>
    <w:rsid w:val="00AB0FBA"/>
    <w:rsid w:val="00AD6F23"/>
    <w:rsid w:val="00AE4373"/>
    <w:rsid w:val="00B37EB4"/>
    <w:rsid w:val="00B63A2C"/>
    <w:rsid w:val="00BA7B82"/>
    <w:rsid w:val="00BE09E3"/>
    <w:rsid w:val="00BE17CB"/>
    <w:rsid w:val="00BF1640"/>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B7282"/>
    <w:rsid w:val="00EC73C2"/>
    <w:rsid w:val="00ED6883"/>
    <w:rsid w:val="00ED7BA7"/>
    <w:rsid w:val="00EE369C"/>
    <w:rsid w:val="00EF33D2"/>
    <w:rsid w:val="00F13CAC"/>
    <w:rsid w:val="00F17D4A"/>
    <w:rsid w:val="00F4112B"/>
    <w:rsid w:val="00F60CAA"/>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0A02909-DE55-43EE-A805-86E9ECCB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9B19A-0416-4145-89B3-52B18E85F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8460</Words>
  <Characters>48226</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30</cp:revision>
  <cp:lastPrinted>2016-08-03T10:07:00Z</cp:lastPrinted>
  <dcterms:created xsi:type="dcterms:W3CDTF">2015-10-13T11:12:00Z</dcterms:created>
  <dcterms:modified xsi:type="dcterms:W3CDTF">2016-08-03T11:06:00Z</dcterms:modified>
</cp:coreProperties>
</file>